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dTable4Accent2"/>
        <w:tblpPr w:leftFromText="180" w:rightFromText="180" w:vertAnchor="page" w:horzAnchor="page" w:tblpX="559" w:tblpY="633"/>
        <w:tblW w:w="10546" w:type="dxa"/>
        <w:tblLook w:val="04A0"/>
      </w:tblPr>
      <w:tblGrid>
        <w:gridCol w:w="5842"/>
        <w:gridCol w:w="4704"/>
      </w:tblGrid>
      <w:tr w:rsidR="00F77EBE" w:rsidRPr="009E6E1C" w:rsidTr="00F77EBE">
        <w:trPr>
          <w:cnfStyle w:val="100000000000"/>
          <w:trHeight w:val="751"/>
        </w:trPr>
        <w:tc>
          <w:tcPr>
            <w:cnfStyle w:val="001000000000"/>
            <w:tcW w:w="5842" w:type="dxa"/>
          </w:tcPr>
          <w:p w:rsidR="00F77EBE" w:rsidRPr="00A468F8" w:rsidRDefault="00F77EBE" w:rsidP="00F77EB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Информатика</w:t>
            </w:r>
          </w:p>
        </w:tc>
        <w:tc>
          <w:tcPr>
            <w:tcW w:w="4704" w:type="dxa"/>
          </w:tcPr>
          <w:p w:rsidR="00F77EBE" w:rsidRPr="00A468F8" w:rsidRDefault="00F77EBE" w:rsidP="00F77EBE">
            <w:pPr>
              <w:jc w:val="center"/>
              <w:cnfStyle w:val="100000000000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Морское значение</w:t>
            </w:r>
          </w:p>
        </w:tc>
      </w:tr>
      <w:tr w:rsidR="00F77EBE" w:rsidTr="009E6E1C">
        <w:trPr>
          <w:cnfStyle w:val="000000100000"/>
          <w:trHeight w:val="751"/>
        </w:trPr>
        <w:tc>
          <w:tcPr>
            <w:cnfStyle w:val="001000000000"/>
            <w:tcW w:w="5842" w:type="dxa"/>
            <w:shd w:val="clear" w:color="auto" w:fill="auto"/>
          </w:tcPr>
          <w:p w:rsidR="00F77EBE" w:rsidRPr="00A468F8" w:rsidRDefault="00F77EBE" w:rsidP="00F77EBE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</w:pPr>
            <w:r w:rsidRPr="00A468F8"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t>Якорь в HTML – закладка на веб-странице, открывающая сетевой документ в месте установки якоря при переходе по ссылке на него.</w:t>
            </w:r>
          </w:p>
        </w:tc>
        <w:tc>
          <w:tcPr>
            <w:tcW w:w="4704" w:type="dxa"/>
            <w:shd w:val="clear" w:color="auto" w:fill="auto"/>
          </w:tcPr>
          <w:p w:rsidR="00F77EBE" w:rsidRPr="000D2FA7" w:rsidRDefault="00F77EBE" w:rsidP="00F77EBE">
            <w:pPr>
              <w:jc w:val="center"/>
              <w:cnfStyle w:val="000000100000"/>
              <w:rPr>
                <w:rFonts w:ascii="Times New Roman" w:hAnsi="Times New Roman" w:cs="Times New Roman"/>
                <w:sz w:val="32"/>
                <w:szCs w:val="32"/>
              </w:rPr>
            </w:pPr>
            <w:r w:rsidRPr="000D2FA7">
              <w:rPr>
                <w:rFonts w:ascii="Times New Roman" w:hAnsi="Times New Roman" w:cs="Times New Roman"/>
                <w:color w:val="0D0D0D" w:themeColor="text1" w:themeTint="F2"/>
                <w:sz w:val="32"/>
                <w:szCs w:val="32"/>
              </w:rPr>
              <w:t>Якорь - металлический стержень с лапами, укрепленный на цепи и опускаемый на дно для удержания на месте судна, бакена, плавучего маяка.</w:t>
            </w:r>
          </w:p>
        </w:tc>
      </w:tr>
      <w:tr w:rsidR="00F77EBE" w:rsidTr="00F77EBE">
        <w:trPr>
          <w:trHeight w:val="751"/>
        </w:trPr>
        <w:tc>
          <w:tcPr>
            <w:cnfStyle w:val="001000000000"/>
            <w:tcW w:w="5842" w:type="dxa"/>
          </w:tcPr>
          <w:p w:rsidR="00F77EBE" w:rsidRPr="00F77EBE" w:rsidRDefault="00F77EBE" w:rsidP="00F77EBE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</w:pPr>
            <w:r w:rsidRPr="00F77EBE"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t>Г</w:t>
            </w:r>
            <w:r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t>енератор</w:t>
            </w:r>
            <w:r w:rsidRPr="00F77EBE"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t xml:space="preserve"> - базовая операция над типом, создающая объект и вырабатывающая ссылочное значение, которое указывает на этот объект.</w:t>
            </w:r>
          </w:p>
        </w:tc>
        <w:tc>
          <w:tcPr>
            <w:tcW w:w="4704" w:type="dxa"/>
          </w:tcPr>
          <w:p w:rsidR="00F77EBE" w:rsidRPr="00A468F8" w:rsidRDefault="00F77EBE" w:rsidP="00F77EBE">
            <w:pPr>
              <w:jc w:val="center"/>
              <w:cnfStyle w:val="000000000000"/>
              <w:rPr>
                <w:rFonts w:ascii="Times New Roman" w:hAnsi="Times New Roman" w:cs="Times New Roman"/>
                <w:sz w:val="32"/>
                <w:szCs w:val="32"/>
              </w:rPr>
            </w:pPr>
            <w:r w:rsidRPr="00F77EBE">
              <w:rPr>
                <w:rFonts w:ascii="Times New Roman" w:hAnsi="Times New Roman" w:cs="Times New Roman"/>
                <w:sz w:val="32"/>
                <w:szCs w:val="32"/>
              </w:rPr>
              <w:t>Судовые генераторы – это своего рода электрические станции, которые предназначены для эксплуатации на судах.</w:t>
            </w:r>
          </w:p>
        </w:tc>
      </w:tr>
      <w:tr w:rsidR="00F77EBE" w:rsidTr="009E6E1C">
        <w:trPr>
          <w:cnfStyle w:val="000000100000"/>
          <w:trHeight w:val="808"/>
        </w:trPr>
        <w:tc>
          <w:tcPr>
            <w:cnfStyle w:val="001000000000"/>
            <w:tcW w:w="5842" w:type="dxa"/>
            <w:shd w:val="clear" w:color="auto" w:fill="auto"/>
          </w:tcPr>
          <w:p w:rsidR="00F77EBE" w:rsidRPr="00F77EBE" w:rsidRDefault="00F77EBE" w:rsidP="00F77EBE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</w:pPr>
            <w:r w:rsidRPr="00F77EBE"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t>ГОТОВНОСТЬ [</w:t>
            </w:r>
            <w:proofErr w:type="spellStart"/>
            <w:r w:rsidRPr="00F77EBE"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t>availability</w:t>
            </w:r>
            <w:proofErr w:type="spellEnd"/>
            <w:r w:rsidRPr="00F77EBE"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t>] - характеристика устройства или программы, определяющая степень способности их принимать и успешно выполнять задания за допустимый</w:t>
            </w:r>
            <w:r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t>.</w:t>
            </w:r>
          </w:p>
        </w:tc>
        <w:tc>
          <w:tcPr>
            <w:tcW w:w="4704" w:type="dxa"/>
            <w:shd w:val="clear" w:color="auto" w:fill="auto"/>
          </w:tcPr>
          <w:p w:rsidR="00F77EBE" w:rsidRPr="00F77EBE" w:rsidRDefault="00F77EBE" w:rsidP="00F77EBE">
            <w:pPr>
              <w:jc w:val="center"/>
              <w:cnfStyle w:val="000000100000"/>
              <w:rPr>
                <w:rFonts w:ascii="Times New Roman" w:hAnsi="Times New Roman" w:cs="Times New Roman"/>
                <w:sz w:val="32"/>
                <w:szCs w:val="32"/>
              </w:rPr>
            </w:pPr>
            <w:r w:rsidRPr="00F77EBE">
              <w:rPr>
                <w:rFonts w:ascii="Times New Roman" w:hAnsi="Times New Roman" w:cs="Times New Roman"/>
                <w:sz w:val="32"/>
                <w:szCs w:val="32"/>
              </w:rPr>
              <w:t>Готовность Судна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-</w:t>
            </w:r>
          </w:p>
          <w:p w:rsidR="00F77EBE" w:rsidRPr="00A468F8" w:rsidRDefault="00F77EBE" w:rsidP="00F77EBE">
            <w:pPr>
              <w:jc w:val="center"/>
              <w:cnfStyle w:val="000000100000"/>
              <w:rPr>
                <w:rFonts w:ascii="Times New Roman" w:hAnsi="Times New Roman" w:cs="Times New Roman"/>
                <w:sz w:val="32"/>
                <w:szCs w:val="32"/>
              </w:rPr>
            </w:pPr>
            <w:r w:rsidRPr="00F77EBE">
              <w:rPr>
                <w:rFonts w:ascii="Times New Roman" w:hAnsi="Times New Roman" w:cs="Times New Roman"/>
                <w:sz w:val="32"/>
                <w:szCs w:val="32"/>
              </w:rPr>
              <w:t>фактическая и документальная готовность судна к погрузке или выгрузке, включая наличие всех разрешений портовых, таможенных, пограничных и санитарных служб, готовность трюмов, грузовых средств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F77EBE" w:rsidTr="00F77EBE">
        <w:trPr>
          <w:trHeight w:val="751"/>
        </w:trPr>
        <w:tc>
          <w:tcPr>
            <w:cnfStyle w:val="001000000000"/>
            <w:tcW w:w="5842" w:type="dxa"/>
          </w:tcPr>
          <w:p w:rsidR="00F77EBE" w:rsidRPr="00F77EBE" w:rsidRDefault="00F77EBE" w:rsidP="00F77EBE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</w:pPr>
            <w:r w:rsidRPr="00F77EBE"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t>Г</w:t>
            </w:r>
            <w:r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t>рафик</w:t>
            </w:r>
            <w:r w:rsidRPr="00F77EBE"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t xml:space="preserve"> - чертеж, применяемый для наглядного выражения количественной и качественной зависимости взаимосвязанных величин и построенный, как правило, в некоторой системе координат.</w:t>
            </w:r>
          </w:p>
        </w:tc>
        <w:tc>
          <w:tcPr>
            <w:tcW w:w="4704" w:type="dxa"/>
          </w:tcPr>
          <w:p w:rsidR="00F77EBE" w:rsidRPr="00A468F8" w:rsidRDefault="00F77EBE" w:rsidP="00F77EBE">
            <w:pPr>
              <w:jc w:val="center"/>
              <w:cnfStyle w:val="000000000000"/>
              <w:rPr>
                <w:rFonts w:ascii="Times New Roman" w:hAnsi="Times New Roman" w:cs="Times New Roman"/>
                <w:sz w:val="32"/>
                <w:szCs w:val="32"/>
              </w:rPr>
            </w:pPr>
            <w:r w:rsidRPr="00F77EBE">
              <w:rPr>
                <w:rFonts w:ascii="Times New Roman" w:hAnsi="Times New Roman" w:cs="Times New Roman"/>
                <w:sz w:val="32"/>
                <w:szCs w:val="32"/>
              </w:rPr>
              <w:t>Судовой График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-</w:t>
            </w:r>
            <w:r w:rsidRPr="00F77EBE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r w:rsidRPr="00F77EBE">
              <w:rPr>
                <w:rFonts w:ascii="Times New Roman" w:hAnsi="Times New Roman" w:cs="Times New Roman"/>
                <w:sz w:val="32"/>
                <w:szCs w:val="32"/>
              </w:rPr>
              <w:t>лан работ с точными показателями норм и времени выполнения.</w:t>
            </w:r>
          </w:p>
        </w:tc>
      </w:tr>
      <w:tr w:rsidR="00F77EBE" w:rsidTr="009E6E1C">
        <w:trPr>
          <w:cnfStyle w:val="000000100000"/>
          <w:trHeight w:val="2757"/>
        </w:trPr>
        <w:tc>
          <w:tcPr>
            <w:cnfStyle w:val="001000000000"/>
            <w:tcW w:w="5842" w:type="dxa"/>
            <w:shd w:val="clear" w:color="auto" w:fill="auto"/>
          </w:tcPr>
          <w:p w:rsidR="00F77EBE" w:rsidRPr="00F77EBE" w:rsidRDefault="00F77EBE" w:rsidP="00F77EBE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</w:pPr>
            <w:r w:rsidRPr="00F77EBE"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t>Датчик преобразователи контролируемых величин (как правило, неэлектрических) в сигналы, удобные для передачи и дальнейшего использования в информационно-измерительных или управляющих системах судна.</w:t>
            </w:r>
          </w:p>
        </w:tc>
        <w:tc>
          <w:tcPr>
            <w:tcW w:w="4704" w:type="dxa"/>
            <w:shd w:val="clear" w:color="auto" w:fill="auto"/>
          </w:tcPr>
          <w:p w:rsidR="00F77EBE" w:rsidRPr="00A468F8" w:rsidRDefault="00F77EBE" w:rsidP="00F77EBE">
            <w:pPr>
              <w:jc w:val="center"/>
              <w:cnfStyle w:val="000000100000"/>
              <w:rPr>
                <w:rFonts w:ascii="Times New Roman" w:hAnsi="Times New Roman" w:cs="Times New Roman"/>
                <w:sz w:val="32"/>
                <w:szCs w:val="32"/>
              </w:rPr>
            </w:pPr>
            <w:r w:rsidRPr="00F77EBE">
              <w:rPr>
                <w:rFonts w:ascii="Times New Roman" w:hAnsi="Times New Roman" w:cs="Times New Roman"/>
                <w:sz w:val="32"/>
                <w:szCs w:val="32"/>
              </w:rPr>
              <w:t>Датчик — инструмент, измеряющий параметр объекта.</w:t>
            </w:r>
          </w:p>
        </w:tc>
      </w:tr>
      <w:tr w:rsidR="00F77EBE" w:rsidTr="009E6E1C">
        <w:trPr>
          <w:trHeight w:val="78"/>
        </w:trPr>
        <w:tc>
          <w:tcPr>
            <w:cnfStyle w:val="001000000000"/>
            <w:tcW w:w="5842" w:type="dxa"/>
          </w:tcPr>
          <w:p w:rsidR="00F77EBE" w:rsidRPr="00F77EBE" w:rsidRDefault="00F77EBE" w:rsidP="00F77EBE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</w:pPr>
            <w:r w:rsidRPr="00F77EBE"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t>Е</w:t>
            </w:r>
            <w:r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t>мкость</w:t>
            </w:r>
            <w:r w:rsidRPr="00F77EBE"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t xml:space="preserve"> (запоминающего устройства) [</w:t>
            </w:r>
            <w:proofErr w:type="spellStart"/>
            <w:r w:rsidRPr="00F77EBE"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t>capacity</w:t>
            </w:r>
            <w:proofErr w:type="spellEnd"/>
            <w:r w:rsidRPr="00F77EBE"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t>] - максимальное количество хранимых в памяти машины слов (байтов или битов), обычно приводимое к эквивалентному числу бит из-за большого различия в размерах слов.</w:t>
            </w:r>
          </w:p>
        </w:tc>
        <w:tc>
          <w:tcPr>
            <w:tcW w:w="4704" w:type="dxa"/>
          </w:tcPr>
          <w:p w:rsidR="00F77EBE" w:rsidRPr="00A468F8" w:rsidRDefault="00F77EBE" w:rsidP="00F77EBE">
            <w:pPr>
              <w:jc w:val="center"/>
              <w:cnfStyle w:val="000000000000"/>
              <w:rPr>
                <w:rFonts w:ascii="Times New Roman" w:hAnsi="Times New Roman" w:cs="Times New Roman"/>
                <w:sz w:val="32"/>
                <w:szCs w:val="32"/>
              </w:rPr>
            </w:pPr>
            <w:r w:rsidRPr="00F77EBE">
              <w:rPr>
                <w:rFonts w:ascii="Times New Roman" w:hAnsi="Times New Roman" w:cs="Times New Roman"/>
                <w:sz w:val="32"/>
                <w:szCs w:val="32"/>
              </w:rPr>
              <w:t xml:space="preserve">Ёмкость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r w:rsidRPr="00F77EBE">
              <w:rPr>
                <w:rFonts w:ascii="Times New Roman" w:hAnsi="Times New Roman" w:cs="Times New Roman"/>
                <w:sz w:val="32"/>
                <w:szCs w:val="32"/>
              </w:rPr>
              <w:t xml:space="preserve"> внутренний объём сосуда, вместимость, то есть максимальный объём помещающегося внутрь него вещества</w:t>
            </w:r>
            <w:r w:rsidR="009E6E1C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F77EBE" w:rsidTr="009E6E1C">
        <w:trPr>
          <w:cnfStyle w:val="000000100000"/>
          <w:trHeight w:val="808"/>
        </w:trPr>
        <w:tc>
          <w:tcPr>
            <w:cnfStyle w:val="001000000000"/>
            <w:tcW w:w="5842" w:type="dxa"/>
            <w:shd w:val="clear" w:color="auto" w:fill="auto"/>
          </w:tcPr>
          <w:p w:rsidR="00F77EBE" w:rsidRPr="00F77EBE" w:rsidRDefault="00F77EBE" w:rsidP="00F77EBE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</w:pPr>
            <w:r w:rsidRPr="00F77EBE"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lastRenderedPageBreak/>
              <w:t>ЖИВУЧЕСТЬ (программы) [</w:t>
            </w:r>
            <w:proofErr w:type="spellStart"/>
            <w:r w:rsidRPr="00F77EBE"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t>vitality</w:t>
            </w:r>
            <w:proofErr w:type="spellEnd"/>
            <w:r w:rsidRPr="00F77EBE"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t>] - способность программы противостоять воздействиям внешних возмущений, выражающихся, например при переработке данных, подачей данных, не входящих в требуемый диапазон значений.</w:t>
            </w:r>
          </w:p>
        </w:tc>
        <w:tc>
          <w:tcPr>
            <w:tcW w:w="4704" w:type="dxa"/>
            <w:shd w:val="clear" w:color="auto" w:fill="auto"/>
          </w:tcPr>
          <w:p w:rsidR="00F77EBE" w:rsidRPr="00A468F8" w:rsidRDefault="00F77EBE" w:rsidP="00F77EBE">
            <w:pPr>
              <w:jc w:val="center"/>
              <w:cnfStyle w:val="000000100000"/>
              <w:rPr>
                <w:rFonts w:ascii="Times New Roman" w:hAnsi="Times New Roman" w:cs="Times New Roman"/>
                <w:sz w:val="32"/>
                <w:szCs w:val="32"/>
              </w:rPr>
            </w:pPr>
            <w:r w:rsidRPr="00F77EBE">
              <w:rPr>
                <w:rFonts w:ascii="Times New Roman" w:hAnsi="Times New Roman" w:cs="Times New Roman"/>
                <w:sz w:val="32"/>
                <w:szCs w:val="32"/>
              </w:rPr>
              <w:t>ЖИВУЧЕСТЬ судна — способность судна при получении повреждений сохранять свои эксплу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а</w:t>
            </w:r>
            <w:r w:rsidRPr="00F77EBE">
              <w:rPr>
                <w:rFonts w:ascii="Times New Roman" w:hAnsi="Times New Roman" w:cs="Times New Roman"/>
                <w:sz w:val="32"/>
                <w:szCs w:val="32"/>
              </w:rPr>
              <w:t>тационные и мореходные качества. Обеспечивается непотопляемостью, пожаробезопасностью, надежностью технических средств, подготовленностью экипажа</w:t>
            </w:r>
          </w:p>
        </w:tc>
      </w:tr>
      <w:tr w:rsidR="00F77EBE" w:rsidTr="00F77EBE">
        <w:trPr>
          <w:trHeight w:val="808"/>
        </w:trPr>
        <w:tc>
          <w:tcPr>
            <w:cnfStyle w:val="001000000000"/>
            <w:tcW w:w="5842" w:type="dxa"/>
          </w:tcPr>
          <w:p w:rsidR="00F77EBE" w:rsidRPr="00F77EBE" w:rsidRDefault="00F77EBE" w:rsidP="00F77EBE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</w:pPr>
            <w:r w:rsidRPr="00F77EBE"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t>З</w:t>
            </w:r>
            <w:r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t>аглушка</w:t>
            </w:r>
            <w:r w:rsidRPr="00F77EBE"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t xml:space="preserve"> [</w:t>
            </w:r>
            <w:proofErr w:type="spellStart"/>
            <w:r w:rsidRPr="00F77EBE"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t>stub</w:t>
            </w:r>
            <w:proofErr w:type="spellEnd"/>
            <w:r w:rsidRPr="00F77EBE"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t>] - заменяющая подпрограмму часть общей программы, используемая временно для продолжения ее разработки и реальной отладки.</w:t>
            </w:r>
          </w:p>
        </w:tc>
        <w:tc>
          <w:tcPr>
            <w:tcW w:w="4704" w:type="dxa"/>
          </w:tcPr>
          <w:p w:rsidR="00F77EBE" w:rsidRPr="00A468F8" w:rsidRDefault="00F77EBE" w:rsidP="00F77EBE">
            <w:pPr>
              <w:jc w:val="center"/>
              <w:cnfStyle w:val="000000000000"/>
              <w:rPr>
                <w:rFonts w:ascii="Times New Roman" w:hAnsi="Times New Roman" w:cs="Times New Roman"/>
                <w:sz w:val="32"/>
                <w:szCs w:val="32"/>
              </w:rPr>
            </w:pPr>
            <w:r w:rsidRPr="00F77EBE">
              <w:rPr>
                <w:rFonts w:ascii="Times New Roman" w:hAnsi="Times New Roman" w:cs="Times New Roman"/>
                <w:sz w:val="32"/>
                <w:szCs w:val="32"/>
              </w:rPr>
              <w:t xml:space="preserve">Заглушка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r w:rsidRPr="00F77EBE">
              <w:rPr>
                <w:rFonts w:ascii="Times New Roman" w:hAnsi="Times New Roman" w:cs="Times New Roman"/>
                <w:sz w:val="32"/>
                <w:szCs w:val="32"/>
              </w:rPr>
              <w:t xml:space="preserve"> предназначена для закрытия концевых отверстий в трубопроводах и изготовления ёмкостей.</w:t>
            </w:r>
          </w:p>
        </w:tc>
      </w:tr>
      <w:tr w:rsidR="00F77EBE" w:rsidTr="009E6E1C">
        <w:trPr>
          <w:cnfStyle w:val="000000100000"/>
          <w:trHeight w:val="808"/>
        </w:trPr>
        <w:tc>
          <w:tcPr>
            <w:cnfStyle w:val="001000000000"/>
            <w:tcW w:w="5842" w:type="dxa"/>
            <w:shd w:val="clear" w:color="auto" w:fill="auto"/>
          </w:tcPr>
          <w:p w:rsidR="00F77EBE" w:rsidRPr="00F77EBE" w:rsidRDefault="00F77EBE" w:rsidP="00F77EBE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</w:pPr>
            <w:r w:rsidRPr="00F77EBE"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t>Н</w:t>
            </w:r>
            <w:r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t>авигатор</w:t>
            </w:r>
            <w:r w:rsidRPr="00F77EBE"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t xml:space="preserve"> - схема маршрутов, алгоритм или совокупность алгоритмов поиска записей в базе данных или в информационно-поисковых массивах.</w:t>
            </w:r>
          </w:p>
        </w:tc>
        <w:tc>
          <w:tcPr>
            <w:tcW w:w="4704" w:type="dxa"/>
            <w:shd w:val="clear" w:color="auto" w:fill="auto"/>
          </w:tcPr>
          <w:p w:rsidR="00F77EBE" w:rsidRPr="00A468F8" w:rsidRDefault="00F77EBE" w:rsidP="00F77EBE">
            <w:pPr>
              <w:jc w:val="center"/>
              <w:cnfStyle w:val="000000100000"/>
              <w:rPr>
                <w:rFonts w:ascii="Times New Roman" w:hAnsi="Times New Roman" w:cs="Times New Roman"/>
                <w:sz w:val="32"/>
                <w:szCs w:val="32"/>
              </w:rPr>
            </w:pPr>
            <w:r w:rsidRPr="00F77EBE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авигатор - с</w:t>
            </w:r>
            <w:r w:rsidRPr="00F77EBE">
              <w:rPr>
                <w:rFonts w:ascii="Times New Roman" w:hAnsi="Times New Roman" w:cs="Times New Roman"/>
                <w:sz w:val="32"/>
                <w:szCs w:val="32"/>
              </w:rPr>
              <w:t>пециалист в области навигации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F77EBE" w:rsidTr="00F77EBE">
        <w:trPr>
          <w:trHeight w:val="808"/>
        </w:trPr>
        <w:tc>
          <w:tcPr>
            <w:cnfStyle w:val="001000000000"/>
            <w:tcW w:w="5842" w:type="dxa"/>
          </w:tcPr>
          <w:p w:rsidR="00F77EBE" w:rsidRPr="00F77EBE" w:rsidRDefault="00F77EBE" w:rsidP="00F77EBE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</w:pPr>
            <w:r w:rsidRPr="00F77EBE"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t>О</w:t>
            </w:r>
            <w:r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t>тладка</w:t>
            </w:r>
            <w:r w:rsidRPr="00F77EBE"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t xml:space="preserve"> - процесс обнаружения или диагностики, локализации, идентификации и устранения ошибок.</w:t>
            </w:r>
          </w:p>
        </w:tc>
        <w:tc>
          <w:tcPr>
            <w:tcW w:w="4704" w:type="dxa"/>
          </w:tcPr>
          <w:p w:rsidR="00F77EBE" w:rsidRPr="00A468F8" w:rsidRDefault="00F77EBE" w:rsidP="00F77EBE">
            <w:pPr>
              <w:jc w:val="center"/>
              <w:cnfStyle w:val="000000000000"/>
              <w:rPr>
                <w:rFonts w:ascii="Times New Roman" w:hAnsi="Times New Roman" w:cs="Times New Roman"/>
                <w:sz w:val="32"/>
                <w:szCs w:val="32"/>
              </w:rPr>
            </w:pPr>
            <w:r w:rsidRPr="00F77EBE">
              <w:rPr>
                <w:rFonts w:ascii="Times New Roman" w:hAnsi="Times New Roman" w:cs="Times New Roman"/>
                <w:sz w:val="32"/>
                <w:szCs w:val="32"/>
              </w:rPr>
              <w:t>Отладка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-</w:t>
            </w:r>
            <w:r w:rsidRPr="00F77EBE">
              <w:rPr>
                <w:rFonts w:ascii="Times New Roman" w:hAnsi="Times New Roman" w:cs="Times New Roman"/>
                <w:sz w:val="32"/>
                <w:szCs w:val="32"/>
              </w:rPr>
              <w:t xml:space="preserve"> настройка алгоритмов для управления судном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F77EBE" w:rsidTr="009E6E1C">
        <w:trPr>
          <w:cnfStyle w:val="000000100000"/>
          <w:trHeight w:val="808"/>
        </w:trPr>
        <w:tc>
          <w:tcPr>
            <w:cnfStyle w:val="001000000000"/>
            <w:tcW w:w="5842" w:type="dxa"/>
            <w:shd w:val="clear" w:color="auto" w:fill="auto"/>
          </w:tcPr>
          <w:p w:rsidR="00F77EBE" w:rsidRPr="00F77EBE" w:rsidRDefault="00F77EBE" w:rsidP="00F77EBE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</w:pPr>
            <w:r w:rsidRPr="00F77EBE"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t>Н</w:t>
            </w:r>
            <w:r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t>абор</w:t>
            </w:r>
            <w:r w:rsidRPr="00F77EBE"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t xml:space="preserve"> - Абстрактный объект, состоящий из конечного числа других объектов - его компонентов.</w:t>
            </w:r>
          </w:p>
        </w:tc>
        <w:tc>
          <w:tcPr>
            <w:tcW w:w="4704" w:type="dxa"/>
            <w:shd w:val="clear" w:color="auto" w:fill="auto"/>
          </w:tcPr>
          <w:p w:rsidR="00F77EBE" w:rsidRPr="00A468F8" w:rsidRDefault="00F77EBE" w:rsidP="00F77EBE">
            <w:pPr>
              <w:jc w:val="center"/>
              <w:cnfStyle w:val="00000010000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r w:rsidRPr="00F77EBE">
              <w:rPr>
                <w:rFonts w:ascii="Times New Roman" w:hAnsi="Times New Roman" w:cs="Times New Roman"/>
                <w:sz w:val="32"/>
                <w:szCs w:val="32"/>
              </w:rPr>
              <w:t xml:space="preserve">абор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r w:rsidRPr="00F77EBE">
              <w:rPr>
                <w:rFonts w:ascii="Times New Roman" w:hAnsi="Times New Roman" w:cs="Times New Roman"/>
                <w:sz w:val="32"/>
                <w:szCs w:val="32"/>
              </w:rPr>
              <w:t xml:space="preserve"> остов или скелет судна; состоит из различных продольных и поперечных связей, придающих корпусу заданную форму и обеспечивающих крепость судна</w:t>
            </w:r>
          </w:p>
        </w:tc>
      </w:tr>
      <w:tr w:rsidR="00F77EBE" w:rsidTr="00F77EBE">
        <w:trPr>
          <w:trHeight w:val="808"/>
        </w:trPr>
        <w:tc>
          <w:tcPr>
            <w:cnfStyle w:val="001000000000"/>
            <w:tcW w:w="5842" w:type="dxa"/>
          </w:tcPr>
          <w:p w:rsidR="00F77EBE" w:rsidRPr="00F77EBE" w:rsidRDefault="00F77EBE" w:rsidP="00F77EBE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</w:pPr>
            <w:r w:rsidRPr="00F77EBE"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t>Ш</w:t>
            </w:r>
            <w:r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t xml:space="preserve">ум </w:t>
            </w:r>
            <w:r w:rsidRPr="00F77EBE"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t>- случайная помеха в сообщении, которую обычно фильтруют, оставляя осмысливаемое сообщение.</w:t>
            </w:r>
          </w:p>
        </w:tc>
        <w:tc>
          <w:tcPr>
            <w:tcW w:w="4704" w:type="dxa"/>
          </w:tcPr>
          <w:p w:rsidR="00F77EBE" w:rsidRPr="00A468F8" w:rsidRDefault="00F77EBE" w:rsidP="00F77EBE">
            <w:pPr>
              <w:jc w:val="center"/>
              <w:cnfStyle w:val="000000000000"/>
              <w:rPr>
                <w:rFonts w:ascii="Times New Roman" w:hAnsi="Times New Roman" w:cs="Times New Roman"/>
                <w:sz w:val="32"/>
                <w:szCs w:val="32"/>
              </w:rPr>
            </w:pPr>
            <w:r w:rsidRPr="00F77EBE">
              <w:rPr>
                <w:rFonts w:ascii="Times New Roman" w:hAnsi="Times New Roman" w:cs="Times New Roman"/>
                <w:sz w:val="32"/>
                <w:szCs w:val="32"/>
              </w:rPr>
              <w:t>Шум — беспорядочные колебания, вызванные нарушением работы приборов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0D2FA7" w:rsidTr="000D2FA7">
        <w:trPr>
          <w:cnfStyle w:val="000000100000"/>
          <w:trHeight w:val="808"/>
        </w:trPr>
        <w:tc>
          <w:tcPr>
            <w:cnfStyle w:val="001000000000"/>
            <w:tcW w:w="5842" w:type="dxa"/>
            <w:shd w:val="clear" w:color="auto" w:fill="auto"/>
          </w:tcPr>
          <w:p w:rsidR="000D2FA7" w:rsidRDefault="000D2FA7" w:rsidP="00F77EB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t>У</w:t>
            </w:r>
            <w:r w:rsidRPr="000D2FA7"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t>зел — это концептуальная единица хранения данных, несущая в себе также ссылки на связанные с ней элементы.</w:t>
            </w:r>
          </w:p>
          <w:p w:rsidR="000D2FA7" w:rsidRDefault="000D2FA7" w:rsidP="00F77EB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D2FA7"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t>Изображение значка видео</w:t>
            </w:r>
            <w:r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t>.</w:t>
            </w:r>
          </w:p>
          <w:p w:rsidR="000D2FA7" w:rsidRPr="000D2FA7" w:rsidRDefault="000D2FA7" w:rsidP="00F77EBE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704" w:type="dxa"/>
            <w:shd w:val="clear" w:color="auto" w:fill="auto"/>
          </w:tcPr>
          <w:p w:rsidR="000D2FA7" w:rsidRDefault="000D2FA7" w:rsidP="00F77EBE">
            <w:pPr>
              <w:jc w:val="center"/>
              <w:cnfStyle w:val="000000100000"/>
              <w:rPr>
                <w:rFonts w:ascii="Times New Roman" w:hAnsi="Times New Roman" w:cs="Times New Roman"/>
                <w:sz w:val="32"/>
                <w:szCs w:val="32"/>
              </w:rPr>
            </w:pPr>
            <w:r w:rsidRPr="000D2FA7">
              <w:rPr>
                <w:rFonts w:ascii="Times New Roman" w:hAnsi="Times New Roman" w:cs="Times New Roman"/>
                <w:sz w:val="32"/>
                <w:szCs w:val="32"/>
              </w:rPr>
              <w:t>Узел — это одна морская) миля (1852 метра)</w:t>
            </w:r>
          </w:p>
          <w:p w:rsidR="000D2FA7" w:rsidRPr="00F77EBE" w:rsidRDefault="000D2FA7" w:rsidP="00F77EBE">
            <w:pPr>
              <w:jc w:val="center"/>
              <w:cnfStyle w:val="000000100000"/>
              <w:rPr>
                <w:rFonts w:ascii="Times New Roman" w:hAnsi="Times New Roman" w:cs="Times New Roman"/>
                <w:sz w:val="32"/>
                <w:szCs w:val="32"/>
              </w:rPr>
            </w:pPr>
            <w:r w:rsidRPr="000D2FA7">
              <w:rPr>
                <w:rFonts w:ascii="Times New Roman" w:hAnsi="Times New Roman" w:cs="Times New Roman"/>
                <w:sz w:val="32"/>
                <w:szCs w:val="32"/>
              </w:rPr>
              <w:t>Морской узел - сочетает простоту и надежность. Они быстро вяжутся и легко одним рывком — развязываются.</w:t>
            </w:r>
          </w:p>
        </w:tc>
      </w:tr>
    </w:tbl>
    <w:p w:rsidR="009E6E1C" w:rsidRDefault="009E6E1C" w:rsidP="00F77EBE"/>
    <w:p w:rsidR="00A468F8" w:rsidRDefault="00DA54E7" w:rsidP="00F77EBE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5247239</wp:posOffset>
            </wp:positionV>
            <wp:extent cx="5622925" cy="1770380"/>
            <wp:effectExtent l="0" t="0" r="0" b="127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25" cy="177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2169995</wp:posOffset>
            </wp:positionH>
            <wp:positionV relativeFrom="paragraph">
              <wp:posOffset>2720741</wp:posOffset>
            </wp:positionV>
            <wp:extent cx="3850005" cy="2621280"/>
            <wp:effectExtent l="0" t="0" r="0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05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E6E1C">
        <w:rPr>
          <w:b/>
          <w:bCs/>
          <w:noProof/>
          <w:color w:val="0D0D0D" w:themeColor="text1" w:themeTint="F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-518829</wp:posOffset>
            </wp:positionH>
            <wp:positionV relativeFrom="paragraph">
              <wp:posOffset>1668814</wp:posOffset>
            </wp:positionV>
            <wp:extent cx="3865880" cy="1812290"/>
            <wp:effectExtent l="0" t="0" r="12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80" cy="181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301</wp:posOffset>
            </wp:positionV>
            <wp:extent cx="3865880" cy="2572407"/>
            <wp:effectExtent l="0" t="0" r="127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80" cy="2572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A54E7" w:rsidRPr="00DA54E7" w:rsidRDefault="00DA54E7" w:rsidP="00DA54E7"/>
    <w:p w:rsidR="00DA54E7" w:rsidRPr="00DA54E7" w:rsidRDefault="00DA54E7" w:rsidP="00DA54E7"/>
    <w:p w:rsidR="00DA54E7" w:rsidRPr="00DA54E7" w:rsidRDefault="00DA54E7" w:rsidP="00DA54E7"/>
    <w:p w:rsidR="00DA54E7" w:rsidRPr="00DA54E7" w:rsidRDefault="00DA54E7" w:rsidP="00DA54E7"/>
    <w:p w:rsidR="00DA54E7" w:rsidRPr="00DA54E7" w:rsidRDefault="00DA54E7" w:rsidP="00DA54E7"/>
    <w:p w:rsidR="00DA54E7" w:rsidRPr="00DA54E7" w:rsidRDefault="00DA54E7" w:rsidP="00DA54E7"/>
    <w:p w:rsidR="00DA54E7" w:rsidRPr="00DA54E7" w:rsidRDefault="00DA54E7" w:rsidP="00DA54E7"/>
    <w:p w:rsidR="00DA54E7" w:rsidRPr="00DA54E7" w:rsidRDefault="00DA54E7" w:rsidP="00DA54E7"/>
    <w:p w:rsidR="00DA54E7" w:rsidRPr="00DA54E7" w:rsidRDefault="00DA54E7" w:rsidP="00DA54E7"/>
    <w:p w:rsidR="00DA54E7" w:rsidRPr="00DA54E7" w:rsidRDefault="00DA54E7" w:rsidP="00DA54E7"/>
    <w:p w:rsidR="00DA54E7" w:rsidRPr="00DA54E7" w:rsidRDefault="00DA54E7" w:rsidP="00DA54E7"/>
    <w:p w:rsidR="00DA54E7" w:rsidRPr="00DA54E7" w:rsidRDefault="00DA54E7" w:rsidP="00DA54E7"/>
    <w:p w:rsidR="00DA54E7" w:rsidRPr="00DA54E7" w:rsidRDefault="00DA54E7" w:rsidP="00DA54E7"/>
    <w:p w:rsidR="00DA54E7" w:rsidRPr="00DA54E7" w:rsidRDefault="00DA54E7" w:rsidP="00DA54E7"/>
    <w:p w:rsidR="00DA54E7" w:rsidRPr="00DA54E7" w:rsidRDefault="00DA54E7" w:rsidP="00DA54E7"/>
    <w:p w:rsidR="00DA54E7" w:rsidRPr="00DA54E7" w:rsidRDefault="00DA54E7" w:rsidP="00DA54E7"/>
    <w:p w:rsidR="00DA54E7" w:rsidRPr="00DA54E7" w:rsidRDefault="00DA54E7" w:rsidP="00DA54E7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10160</wp:posOffset>
            </wp:positionV>
            <wp:extent cx="3512185" cy="263080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263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A54E7" w:rsidRPr="00DA54E7" w:rsidRDefault="00DA54E7" w:rsidP="00DA54E7"/>
    <w:p w:rsidR="00DA54E7" w:rsidRPr="00DA54E7" w:rsidRDefault="00DA54E7" w:rsidP="00DA54E7"/>
    <w:p w:rsidR="00DA54E7" w:rsidRPr="00DA54E7" w:rsidRDefault="00DA54E7" w:rsidP="00DA54E7">
      <w:pPr>
        <w:tabs>
          <w:tab w:val="left" w:pos="1415"/>
        </w:tabs>
      </w:pPr>
      <w:r>
        <w:tab/>
      </w:r>
    </w:p>
    <w:p w:rsidR="00DA54E7" w:rsidRPr="00DA54E7" w:rsidRDefault="00DA54E7" w:rsidP="00DA54E7"/>
    <w:p w:rsidR="00DA54E7" w:rsidRPr="00DA54E7" w:rsidRDefault="00DA54E7" w:rsidP="00DA54E7"/>
    <w:p w:rsidR="00DA54E7" w:rsidRPr="00DA54E7" w:rsidRDefault="00DA54E7" w:rsidP="00DA54E7"/>
    <w:p w:rsidR="00DA54E7" w:rsidRPr="00DA54E7" w:rsidRDefault="00DA54E7" w:rsidP="00DA54E7"/>
    <w:p w:rsidR="00DA54E7" w:rsidRDefault="00A010FE" w:rsidP="00DA54E7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4259852</wp:posOffset>
            </wp:positionV>
            <wp:extent cx="6117590" cy="4587875"/>
            <wp:effectExtent l="0" t="0" r="0" b="317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-514713</wp:posOffset>
            </wp:positionH>
            <wp:positionV relativeFrom="paragraph">
              <wp:posOffset>0</wp:posOffset>
            </wp:positionV>
            <wp:extent cx="6294755" cy="417957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417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10FE" w:rsidRPr="00A010FE" w:rsidRDefault="00A010FE" w:rsidP="00A010FE"/>
    <w:sectPr w:rsidR="00A010FE" w:rsidRPr="00A010FE" w:rsidSect="00D730AC">
      <w:headerReference w:type="default" r:id="rId14"/>
      <w:pgSz w:w="11906" w:h="16838"/>
      <w:pgMar w:top="1134" w:right="851" w:bottom="567" w:left="1701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4A5C" w:rsidRDefault="00614A5C" w:rsidP="009E6E1C">
      <w:pPr>
        <w:spacing w:after="0" w:line="240" w:lineRule="auto"/>
      </w:pPr>
      <w:r>
        <w:separator/>
      </w:r>
    </w:p>
  </w:endnote>
  <w:endnote w:type="continuationSeparator" w:id="0">
    <w:p w:rsidR="00614A5C" w:rsidRDefault="00614A5C" w:rsidP="009E6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4A5C" w:rsidRDefault="00614A5C" w:rsidP="009E6E1C">
      <w:pPr>
        <w:spacing w:after="0" w:line="240" w:lineRule="auto"/>
      </w:pPr>
      <w:r>
        <w:separator/>
      </w:r>
    </w:p>
  </w:footnote>
  <w:footnote w:type="continuationSeparator" w:id="0">
    <w:p w:rsidR="00614A5C" w:rsidRDefault="00614A5C" w:rsidP="009E6E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30AC" w:rsidRPr="00D730AC" w:rsidRDefault="00D730AC">
    <w:pPr>
      <w:pStyle w:val="a4"/>
    </w:pPr>
    <w:r>
      <w:t>Курсанты</w:t>
    </w:r>
    <w:r w:rsidRPr="00D730AC">
      <w:t>:</w:t>
    </w:r>
    <w:r>
      <w:t xml:space="preserve"> Поповский</w:t>
    </w:r>
    <w:proofErr w:type="gramStart"/>
    <w:r>
      <w:t xml:space="preserve"> И</w:t>
    </w:r>
    <w:proofErr w:type="gramEnd"/>
    <w:r>
      <w:t xml:space="preserve">, </w:t>
    </w:r>
    <w:proofErr w:type="spellStart"/>
    <w:r>
      <w:t>Прялкин</w:t>
    </w:r>
    <w:proofErr w:type="spellEnd"/>
    <w:r>
      <w:t xml:space="preserve"> </w:t>
    </w:r>
    <w:proofErr w:type="spellStart"/>
    <w:r>
      <w:t>Д.¸Якимов</w:t>
    </w:r>
    <w:proofErr w:type="spellEnd"/>
    <w:r>
      <w:t xml:space="preserve"> И., 222группа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68F8"/>
    <w:rsid w:val="000D2FA7"/>
    <w:rsid w:val="00614A5C"/>
    <w:rsid w:val="009E6E1C"/>
    <w:rsid w:val="00A010FE"/>
    <w:rsid w:val="00A468F8"/>
    <w:rsid w:val="00CD6C28"/>
    <w:rsid w:val="00D64767"/>
    <w:rsid w:val="00D730AC"/>
    <w:rsid w:val="00DA54E7"/>
    <w:rsid w:val="00DE2B33"/>
    <w:rsid w:val="00F77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7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6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Accent2">
    <w:name w:val="List Table 3 Accent 2"/>
    <w:basedOn w:val="a1"/>
    <w:uiPriority w:val="48"/>
    <w:rsid w:val="00A468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customStyle="1" w:styleId="GridTable1LightAccent6">
    <w:name w:val="Grid Table 1 Light Accent 6"/>
    <w:basedOn w:val="a1"/>
    <w:uiPriority w:val="46"/>
    <w:rsid w:val="00A468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Accent2">
    <w:name w:val="Grid Table 4 Accent 2"/>
    <w:basedOn w:val="a1"/>
    <w:uiPriority w:val="49"/>
    <w:rsid w:val="00A468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a4">
    <w:name w:val="header"/>
    <w:basedOn w:val="a"/>
    <w:link w:val="a5"/>
    <w:uiPriority w:val="99"/>
    <w:unhideWhenUsed/>
    <w:rsid w:val="009E6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E6E1C"/>
  </w:style>
  <w:style w:type="paragraph" w:styleId="a6">
    <w:name w:val="footer"/>
    <w:basedOn w:val="a"/>
    <w:link w:val="a7"/>
    <w:uiPriority w:val="99"/>
    <w:unhideWhenUsed/>
    <w:rsid w:val="009E6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E6E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D9E8AA-CCF4-4605-BD1D-FD3281985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517</Words>
  <Characters>2949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Поповский Даниил Дмитриевич</dc:creator>
  <cp:keywords/>
  <dc:description/>
  <cp:lastModifiedBy>tso</cp:lastModifiedBy>
  <cp:revision>4</cp:revision>
  <dcterms:created xsi:type="dcterms:W3CDTF">2022-02-21T19:59:00Z</dcterms:created>
  <dcterms:modified xsi:type="dcterms:W3CDTF">2022-02-22T07:04:00Z</dcterms:modified>
</cp:coreProperties>
</file>