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F64BE4" w:rsidRPr="00F64BE4" w:rsidRDefault="00F64BE4">
            <w:pPr>
              <w:jc w:val="center"/>
              <w:rPr>
                <w:b/>
                <w:sz w:val="16"/>
                <w:szCs w:val="16"/>
              </w:rPr>
            </w:pPr>
            <w:r w:rsidRPr="00F64BE4">
              <w:rPr>
                <w:b/>
                <w:sz w:val="16"/>
                <w:szCs w:val="16"/>
              </w:rPr>
              <w:t>ПЕРВИЧНОЕ ПОЛУЧЕНИЕ КВАЛИФИКАЦИОННЫХ ДОКУМЕНТОВ/</w:t>
            </w:r>
            <w:r w:rsidRPr="00F64BE4">
              <w:rPr>
                <w:b/>
                <w:sz w:val="16"/>
                <w:szCs w:val="16"/>
                <w:lang w:val="en-US"/>
              </w:rPr>
              <w:t>THE</w:t>
            </w:r>
            <w:r w:rsidRPr="00F64BE4">
              <w:rPr>
                <w:b/>
                <w:sz w:val="16"/>
                <w:szCs w:val="16"/>
              </w:rPr>
              <w:t xml:space="preserve"> </w:t>
            </w:r>
            <w:r w:rsidRPr="00F64BE4">
              <w:rPr>
                <w:b/>
                <w:sz w:val="16"/>
                <w:szCs w:val="16"/>
                <w:lang w:val="en-US"/>
              </w:rPr>
              <w:t>FIRST</w:t>
            </w:r>
            <w:r w:rsidRPr="00F64BE4">
              <w:rPr>
                <w:b/>
                <w:sz w:val="16"/>
                <w:szCs w:val="16"/>
              </w:rPr>
              <w:t xml:space="preserve"> </w:t>
            </w:r>
            <w:r w:rsidRPr="00F64BE4">
              <w:rPr>
                <w:b/>
                <w:sz w:val="16"/>
                <w:szCs w:val="16"/>
                <w:lang w:val="en-US"/>
              </w:rPr>
              <w:t>CERTIFICATION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8F20F3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664262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F20F3" w:rsidRDefault="0024673B">
            <w:proofErr w:type="spellStart"/>
            <w:r>
              <w:t>Холодопроизводительность</w:t>
            </w:r>
            <w:proofErr w:type="spellEnd"/>
            <w:r w:rsidRPr="008F20F3">
              <w:t xml:space="preserve"> </w:t>
            </w:r>
            <w:r>
              <w:t>судовой</w:t>
            </w:r>
            <w:r w:rsidRPr="008F20F3">
              <w:t xml:space="preserve"> </w:t>
            </w:r>
            <w:r>
              <w:t>холодильной</w:t>
            </w:r>
            <w:r w:rsidRPr="008F20F3">
              <w:t xml:space="preserve"> </w:t>
            </w:r>
            <w:r>
              <w:t>установки</w:t>
            </w:r>
            <w:r w:rsidR="004268BF" w:rsidRPr="008F20F3">
              <w:t xml:space="preserve"> </w:t>
            </w:r>
            <w:proofErr w:type="gramStart"/>
            <w:r w:rsidR="004268BF" w:rsidRPr="008F20F3">
              <w:t>–</w:t>
            </w:r>
            <w:r w:rsidR="004268BF">
              <w:t>т</w:t>
            </w:r>
            <w:proofErr w:type="gramEnd"/>
            <w:r w:rsidR="004268BF">
              <w:t>олько</w:t>
            </w:r>
            <w:r w:rsidR="004268BF" w:rsidRPr="008F20F3">
              <w:t xml:space="preserve"> </w:t>
            </w:r>
            <w:r w:rsidR="004268BF">
              <w:t>для</w:t>
            </w:r>
            <w:r w:rsidR="004268BF" w:rsidRPr="008F20F3"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8F20F3">
              <w:t xml:space="preserve"> ( </w:t>
            </w:r>
            <w:r w:rsidRPr="008F2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8F2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8F20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8F20F3">
              <w:rPr>
                <w:sz w:val="16"/>
                <w:szCs w:val="16"/>
              </w:rPr>
              <w:t>ая</w:t>
            </w:r>
            <w:r w:rsidRPr="008F20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8F20F3">
              <w:rPr>
                <w:sz w:val="16"/>
                <w:szCs w:val="16"/>
              </w:rPr>
              <w:t>-</w:t>
            </w:r>
            <w:r w:rsidRPr="008F20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8F2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8F20F3">
              <w:rPr>
                <w:sz w:val="16"/>
                <w:szCs w:val="16"/>
              </w:rPr>
              <w:t>)</w:t>
            </w:r>
            <w:r w:rsidR="00FC65EE" w:rsidRPr="008F20F3">
              <w:rPr>
                <w:sz w:val="16"/>
                <w:szCs w:val="16"/>
              </w:rPr>
              <w:t>/</w:t>
            </w:r>
            <w:r>
              <w:rPr>
                <w:lang w:val="en-US"/>
              </w:rPr>
              <w:t>Power</w:t>
            </w:r>
            <w:r w:rsidRPr="008F20F3">
              <w:t xml:space="preserve"> </w:t>
            </w:r>
            <w:r>
              <w:rPr>
                <w:lang w:val="en-US"/>
              </w:rPr>
              <w:t>of</w:t>
            </w:r>
            <w:r w:rsidRPr="008F20F3">
              <w:t xml:space="preserve"> </w:t>
            </w:r>
            <w:r>
              <w:rPr>
                <w:lang w:val="en-US"/>
              </w:rPr>
              <w:t>ship</w:t>
            </w:r>
            <w:r w:rsidRPr="008F20F3">
              <w:t>’</w:t>
            </w:r>
            <w:r>
              <w:rPr>
                <w:lang w:val="en-US"/>
              </w:rPr>
              <w:t>s</w:t>
            </w:r>
            <w:r w:rsidRPr="008F20F3">
              <w:t xml:space="preserve"> </w:t>
            </w:r>
            <w:r>
              <w:rPr>
                <w:lang w:val="en-US"/>
              </w:rPr>
              <w:t>refrigerator</w:t>
            </w:r>
            <w:r w:rsidR="004268BF" w:rsidRPr="008F20F3"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8F20F3"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8F20F3"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8F20F3"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8F20F3"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8F2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8F2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8F20F3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Pr="008F20F3">
              <w:rPr>
                <w:sz w:val="16"/>
                <w:szCs w:val="16"/>
              </w:rPr>
              <w:t xml:space="preserve">  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8F2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8F20F3">
              <w:rPr>
                <w:sz w:val="16"/>
                <w:szCs w:val="16"/>
              </w:rPr>
              <w:t>)</w:t>
            </w:r>
            <w:r w:rsidRPr="008F20F3">
              <w:t xml:space="preserve">  </w:t>
            </w:r>
            <w:r w:rsidR="00D95D7F" w:rsidRPr="008F20F3"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 w:rsidRPr="008F20F3">
              <w:t xml:space="preserve">                                                                                                                                                                   </w:t>
            </w:r>
            <w:r w:rsidRPr="008F20F3">
              <w:t xml:space="preserve">        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 w:rsidP="00FA596A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</w:t>
            </w:r>
            <w:r w:rsidR="00FA596A">
              <w:t>и</w:t>
            </w:r>
            <w:r w:rsidR="00FA596A" w:rsidRPr="00FA596A">
              <w:rPr>
                <w:lang w:val="en-US"/>
              </w:rPr>
              <w:t xml:space="preserve"> 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/Area of operation</w:t>
            </w:r>
            <w:r w:rsidR="00FA596A" w:rsidRPr="00FA596A">
              <w:rPr>
                <w:lang w:val="en-US"/>
              </w:rPr>
              <w:t xml:space="preserve"> </w:t>
            </w:r>
            <w:r w:rsidR="00FA596A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ports of call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E93374">
              <w:rPr>
                <w:lang w:val="en-US"/>
              </w:rPr>
              <w:t>:</w:t>
            </w:r>
          </w:p>
        </w:tc>
      </w:tr>
      <w:tr w:rsidR="008F20F3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F3" w:rsidRPr="008F20F3" w:rsidRDefault="008F20F3">
            <w:r w:rsidRPr="009136CE">
              <w:rPr>
                <w:rFonts w:eastAsia="Arial Unicode MS"/>
                <w:color w:val="000000"/>
                <w:szCs w:val="24"/>
                <w:u w:color="000000"/>
              </w:rPr>
              <w:t xml:space="preserve">Требование пункта 6 Правила I/11 Конвенции ПДНВ в части обновления знаний национальных и международных документов (только на судах под флагом РФ) выполнено:                            </w:t>
            </w:r>
            <w:r w:rsidRPr="009136CE">
              <w:rPr>
                <w:szCs w:val="24"/>
              </w:rPr>
              <w:t>да*                               нет*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</w:t>
            </w:r>
            <w:proofErr w:type="gramStart"/>
            <w:r w:rsidRPr="0010177F">
              <w:t>вышеуказанного</w:t>
            </w:r>
            <w:proofErr w:type="gramEnd"/>
            <w:r w:rsidRPr="0010177F">
              <w:t xml:space="preserve">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964D0F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964D0F" w:rsidRDefault="002504D1" w:rsidP="002504D1">
            <w:r w:rsidRPr="0010177F">
              <w:t>а</w:t>
            </w:r>
            <w:r w:rsidRPr="00964D0F">
              <w:t xml:space="preserve">) </w:t>
            </w:r>
            <w:r w:rsidRPr="0010177F">
              <w:t>стаж</w:t>
            </w:r>
            <w:r w:rsidRPr="00964D0F">
              <w:t xml:space="preserve"> </w:t>
            </w:r>
            <w:r w:rsidRPr="0010177F">
              <w:t>плавания</w:t>
            </w:r>
            <w:r w:rsidRPr="00964D0F">
              <w:t xml:space="preserve"> </w:t>
            </w:r>
            <w:r w:rsidRPr="0010177F">
              <w:t>иного</w:t>
            </w:r>
            <w:r w:rsidRPr="00964D0F">
              <w:t xml:space="preserve">, </w:t>
            </w:r>
            <w:r w:rsidRPr="0010177F">
              <w:t>чем</w:t>
            </w:r>
            <w:r w:rsidRPr="00964D0F">
              <w:t xml:space="preserve"> </w:t>
            </w:r>
            <w:r w:rsidRPr="0010177F">
              <w:t>прибрежное</w:t>
            </w:r>
            <w:r w:rsidRPr="00964D0F">
              <w:t xml:space="preserve"> </w:t>
            </w:r>
            <w:r w:rsidRPr="0010177F">
              <w:t>плавание</w:t>
            </w:r>
            <w:r w:rsidRPr="00964D0F">
              <w:t xml:space="preserve"> </w:t>
            </w:r>
            <w:r w:rsidRPr="0010177F">
              <w:t>и</w:t>
            </w:r>
            <w:r w:rsidRPr="00964D0F">
              <w:t xml:space="preserve"> </w:t>
            </w:r>
            <w:r w:rsidRPr="0010177F">
              <w:t>плавание</w:t>
            </w:r>
            <w:r w:rsidRPr="00964D0F">
              <w:t xml:space="preserve"> </w:t>
            </w:r>
            <w:r w:rsidRPr="0010177F">
              <w:t>по</w:t>
            </w:r>
            <w:r w:rsidRPr="00964D0F">
              <w:t xml:space="preserve"> </w:t>
            </w:r>
            <w:r w:rsidRPr="0010177F">
              <w:t>ВВП</w:t>
            </w:r>
            <w:r w:rsidRPr="00964D0F">
              <w:t xml:space="preserve"> </w:t>
            </w:r>
            <w:r w:rsidRPr="0010177F">
              <w:t>РФ</w:t>
            </w:r>
            <w:r w:rsidRPr="00964D0F">
              <w:t xml:space="preserve">/ </w:t>
            </w:r>
            <w:r w:rsidRPr="0010177F">
              <w:rPr>
                <w:lang w:val="en-US"/>
              </w:rPr>
              <w:t>total</w:t>
            </w:r>
            <w:r w:rsidRPr="00964D0F">
              <w:t xml:space="preserve"> </w:t>
            </w:r>
            <w:r w:rsidRPr="0010177F">
              <w:rPr>
                <w:lang w:val="en-US"/>
              </w:rPr>
              <w:t>time</w:t>
            </w:r>
            <w:r w:rsidRPr="00964D0F">
              <w:t xml:space="preserve"> </w:t>
            </w:r>
            <w:r w:rsidRPr="0010177F">
              <w:rPr>
                <w:lang w:val="en-US"/>
              </w:rPr>
              <w:t>of</w:t>
            </w:r>
            <w:r w:rsidRPr="00964D0F">
              <w:t xml:space="preserve"> </w:t>
            </w:r>
            <w:r w:rsidRPr="0010177F">
              <w:rPr>
                <w:lang w:val="en-US"/>
              </w:rPr>
              <w:t>seagoing</w:t>
            </w:r>
            <w:r w:rsidRPr="00964D0F">
              <w:t xml:space="preserve"> </w:t>
            </w:r>
            <w:r w:rsidRPr="0010177F">
              <w:rPr>
                <w:lang w:val="en-US"/>
              </w:rPr>
              <w:t>service</w:t>
            </w:r>
            <w:r w:rsidRPr="00964D0F">
              <w:t xml:space="preserve"> </w:t>
            </w:r>
            <w:r w:rsidRPr="0010177F">
              <w:rPr>
                <w:lang w:val="en-US"/>
              </w:rPr>
              <w:t>excluding</w:t>
            </w:r>
            <w:r w:rsidRPr="00964D0F">
              <w:t xml:space="preserve"> </w:t>
            </w:r>
            <w:r w:rsidRPr="0010177F">
              <w:rPr>
                <w:lang w:val="en-US"/>
              </w:rPr>
              <w:t>near</w:t>
            </w:r>
            <w:r w:rsidRPr="00964D0F">
              <w:t>-</w:t>
            </w:r>
            <w:r w:rsidRPr="0010177F">
              <w:rPr>
                <w:lang w:val="en-US"/>
              </w:rPr>
              <w:t>coastal</w:t>
            </w:r>
            <w:r w:rsidRPr="00964D0F">
              <w:t xml:space="preserve"> &amp; </w:t>
            </w:r>
            <w:r w:rsidRPr="0010177F">
              <w:rPr>
                <w:lang w:val="en-US"/>
              </w:rPr>
              <w:t>RF</w:t>
            </w:r>
            <w:r w:rsidRPr="00964D0F">
              <w:t xml:space="preserve"> </w:t>
            </w:r>
            <w:r w:rsidRPr="0010177F">
              <w:rPr>
                <w:lang w:val="en-US"/>
              </w:rPr>
              <w:t>inland</w:t>
            </w:r>
            <w:r w:rsidRPr="00964D0F">
              <w:t xml:space="preserve"> </w:t>
            </w:r>
            <w:r w:rsidRPr="0010177F">
              <w:rPr>
                <w:lang w:val="en-US"/>
              </w:rPr>
              <w:t>waterways</w:t>
            </w:r>
            <w:r w:rsidRPr="00964D0F">
              <w:t xml:space="preserve"> </w:t>
            </w:r>
            <w:r w:rsidRPr="0010177F">
              <w:rPr>
                <w:lang w:val="en-US"/>
              </w:rPr>
              <w:t>service</w:t>
            </w:r>
            <w:r w:rsidRPr="00964D0F">
              <w:t xml:space="preserve">:                   </w:t>
            </w:r>
            <w:r w:rsidR="00627A2E" w:rsidRPr="00964D0F">
              <w:t xml:space="preserve">             </w:t>
            </w:r>
            <w:r w:rsidRPr="0010177F">
              <w:t>месяцев</w:t>
            </w:r>
            <w:r w:rsidRPr="00964D0F">
              <w:t xml:space="preserve">/ </w:t>
            </w:r>
            <w:r w:rsidRPr="0010177F">
              <w:rPr>
                <w:lang w:val="en-US"/>
              </w:rPr>
              <w:t>months</w:t>
            </w:r>
            <w:r w:rsidRPr="00964D0F">
              <w:t xml:space="preserve">                                                              </w:t>
            </w:r>
            <w:r w:rsidRPr="0010177F">
              <w:t>дней</w:t>
            </w:r>
            <w:r w:rsidRPr="00964D0F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 w:rsidR="00627A2E">
              <w:t xml:space="preserve">    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C03C29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Pr="00FC6BE3">
                <w:rPr>
                  <w:b/>
                  <w:u w:val="single"/>
                  <w:lang w:val="en-US"/>
                </w:rPr>
                <w:t>r</w:t>
              </w:r>
              <w:r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Pr="00FC6BE3">
                <w:rPr>
                  <w:b/>
                  <w:u w:val="single"/>
                </w:rPr>
                <w:t>t</w:t>
              </w:r>
            </w:smartTag>
            <w:r w:rsidRPr="00FC6BE3">
              <w:rPr>
                <w:b/>
                <w:u w:val="single"/>
              </w:rPr>
              <w:t>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C03C29" w:rsidRPr="00C03C29" w:rsidRDefault="00C03C29" w:rsidP="00C03C29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DC0773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C03C29" w:rsidRPr="0010177F" w:rsidRDefault="00C03C29" w:rsidP="003554EB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proofErr w:type="spellStart"/>
            <w:r w:rsidRPr="00EF6FEE">
              <w:rPr>
                <w:b/>
                <w:sz w:val="16"/>
                <w:szCs w:val="16"/>
              </w:rPr>
              <w:t>ф</w:t>
            </w:r>
            <w:proofErr w:type="spellEnd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964D0F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964D0F">
              <w:t xml:space="preserve">) </w:t>
            </w:r>
            <w:r>
              <w:rPr>
                <w:u w:val="single"/>
              </w:rPr>
              <w:t>электромеханика</w:t>
            </w:r>
            <w:r w:rsidRPr="00964D0F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964D0F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964D0F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964D0F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964D0F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964D0F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964D0F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964D0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964D0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964D0F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964D0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964D0F">
              <w:rPr>
                <w:u w:val="single"/>
              </w:rPr>
              <w:t xml:space="preserve">  </w:t>
            </w:r>
            <w:r w:rsidRPr="0010177F">
              <w:t>под</w:t>
            </w:r>
            <w:r w:rsidRPr="00964D0F">
              <w:t xml:space="preserve"> </w:t>
            </w:r>
            <w:r w:rsidRPr="00391350">
              <w:t>руково</w:t>
            </w:r>
            <w:r>
              <w:t>дством</w:t>
            </w:r>
            <w:r w:rsidRPr="00964D0F">
              <w:t xml:space="preserve"> </w:t>
            </w:r>
            <w:r w:rsidRPr="00537C0A">
              <w:t>дипломированного</w:t>
            </w:r>
            <w:r w:rsidRPr="00964D0F">
              <w:t xml:space="preserve"> </w:t>
            </w:r>
            <w:r w:rsidRPr="00537C0A">
              <w:t>специалиста</w:t>
            </w:r>
            <w:r w:rsidRPr="00964D0F">
              <w:t xml:space="preserve"> / </w:t>
            </w:r>
            <w:r w:rsidRPr="0010177F">
              <w:rPr>
                <w:lang w:val="en-US"/>
              </w:rPr>
              <w:t>under</w:t>
            </w:r>
            <w:r w:rsidRPr="00964D0F">
              <w:t xml:space="preserve"> </w:t>
            </w:r>
            <w:r>
              <w:rPr>
                <w:lang w:val="en-US"/>
              </w:rPr>
              <w:t>the</w:t>
            </w:r>
            <w:r w:rsidRPr="00964D0F">
              <w:t xml:space="preserve"> </w:t>
            </w:r>
            <w:r>
              <w:rPr>
                <w:lang w:val="en-US"/>
              </w:rPr>
              <w:t>guidance</w:t>
            </w:r>
            <w:r w:rsidRPr="00964D0F">
              <w:t xml:space="preserve"> </w:t>
            </w:r>
            <w:r>
              <w:rPr>
                <w:lang w:val="en-US"/>
              </w:rPr>
              <w:t>of</w:t>
            </w:r>
            <w:r w:rsidRPr="00964D0F">
              <w:t xml:space="preserve"> </w:t>
            </w:r>
            <w:r>
              <w:rPr>
                <w:lang w:val="en-US"/>
              </w:rPr>
              <w:t>certified</w:t>
            </w:r>
            <w:r w:rsidRPr="00964D0F">
              <w:t xml:space="preserve"> </w:t>
            </w:r>
            <w:r>
              <w:rPr>
                <w:lang w:val="en-US"/>
              </w:rPr>
              <w:t>officer</w:t>
            </w:r>
            <w:r w:rsidR="00086809" w:rsidRPr="00964D0F">
              <w:t>:</w:t>
            </w:r>
            <w:r w:rsidRPr="00964D0F">
              <w:t xml:space="preserve"> </w:t>
            </w:r>
          </w:p>
          <w:p w:rsidR="003F2298" w:rsidRPr="00964D0F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964D0F">
              <w:t xml:space="preserve"> </w:t>
            </w:r>
            <w:proofErr w:type="spellStart"/>
            <w:r w:rsidR="00EF6FEE" w:rsidRPr="00EF6FEE">
              <w:rPr>
                <w:b/>
                <w:sz w:val="16"/>
                <w:szCs w:val="16"/>
              </w:rPr>
              <w:t>ф</w:t>
            </w:r>
            <w:proofErr w:type="spellEnd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8F20F3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      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8F20F3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8F20F3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proofErr w:type="spellStart"/>
            <w:r w:rsidR="00EF6FEE" w:rsidRPr="00EF6FEE">
              <w:rPr>
                <w:b/>
                <w:sz w:val="16"/>
                <w:szCs w:val="16"/>
              </w:rPr>
              <w:t>ф</w:t>
            </w:r>
            <w:proofErr w:type="spellEnd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4673B" w:rsidRPr="008F20F3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8F20F3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964D0F" w:rsidRDefault="005E0101">
            <w:pPr>
              <w:rPr>
                <w:b/>
                <w:lang w:val="en-US"/>
              </w:rPr>
            </w:pPr>
          </w:p>
        </w:tc>
      </w:tr>
      <w:tr w:rsidR="0024673B" w:rsidRPr="008F20F3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Default="00627A2E" w:rsidP="00EF7063">
            <w:pPr>
              <w:jc w:val="right"/>
              <w:rPr>
                <w:b/>
              </w:rPr>
            </w:pPr>
          </w:p>
          <w:p w:rsidR="00E93374" w:rsidRPr="00B5346D" w:rsidRDefault="00E93374" w:rsidP="00EF7063">
            <w:pPr>
              <w:jc w:val="right"/>
              <w:rPr>
                <w:b/>
              </w:rPr>
            </w:pPr>
          </w:p>
        </w:tc>
      </w:tr>
    </w:tbl>
    <w:p w:rsidR="0008098F" w:rsidRPr="00964D0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964D0F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proofErr w:type="gramStart"/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  <w:proofErr w:type="gramEnd"/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21.  </w:t>
      </w:r>
      <w:proofErr w:type="gramStart"/>
      <w:r w:rsidRPr="0008098F">
        <w:rPr>
          <w:rFonts w:eastAsia="Arial Unicode MS"/>
          <w:sz w:val="14"/>
          <w:szCs w:val="14"/>
          <w:u w:color="000000"/>
        </w:rPr>
        <w:t>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  <w:proofErr w:type="gramEnd"/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Harbour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engaged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category, the seagoing service on ships powered  by main propulsion machinery of 750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kw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default" r:id="rId7"/>
      <w:footerReference w:type="default" r:id="rId8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53" w:rsidRDefault="00990253">
      <w:r>
        <w:separator/>
      </w:r>
    </w:p>
  </w:endnote>
  <w:endnote w:type="continuationSeparator" w:id="0">
    <w:p w:rsidR="00990253" w:rsidRDefault="0099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53" w:rsidRDefault="00990253">
      <w:r>
        <w:separator/>
      </w:r>
    </w:p>
  </w:footnote>
  <w:footnote w:type="continuationSeparator" w:id="0">
    <w:p w:rsidR="00990253" w:rsidRDefault="0099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1285B"/>
    <w:rsid w:val="00244191"/>
    <w:rsid w:val="002442C3"/>
    <w:rsid w:val="0024673B"/>
    <w:rsid w:val="002504D1"/>
    <w:rsid w:val="00265DF4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91350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955DB"/>
    <w:rsid w:val="004C4189"/>
    <w:rsid w:val="004C515C"/>
    <w:rsid w:val="004C5F31"/>
    <w:rsid w:val="004D198C"/>
    <w:rsid w:val="004D21C7"/>
    <w:rsid w:val="004E1172"/>
    <w:rsid w:val="004F49B2"/>
    <w:rsid w:val="004F4B74"/>
    <w:rsid w:val="00516076"/>
    <w:rsid w:val="00534345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64262"/>
    <w:rsid w:val="00694FB6"/>
    <w:rsid w:val="006A40BB"/>
    <w:rsid w:val="006C3704"/>
    <w:rsid w:val="006C5DE8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E1F08"/>
    <w:rsid w:val="007F653B"/>
    <w:rsid w:val="00803F73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8F20F3"/>
    <w:rsid w:val="0091516B"/>
    <w:rsid w:val="00935DCA"/>
    <w:rsid w:val="00964D0F"/>
    <w:rsid w:val="00965ABE"/>
    <w:rsid w:val="00967878"/>
    <w:rsid w:val="00973D11"/>
    <w:rsid w:val="00986DBE"/>
    <w:rsid w:val="00990253"/>
    <w:rsid w:val="009A7D09"/>
    <w:rsid w:val="009B31A0"/>
    <w:rsid w:val="009C3573"/>
    <w:rsid w:val="009C394F"/>
    <w:rsid w:val="009D013B"/>
    <w:rsid w:val="009F0E2C"/>
    <w:rsid w:val="00A378D4"/>
    <w:rsid w:val="00A53C1E"/>
    <w:rsid w:val="00A82ACD"/>
    <w:rsid w:val="00AA311F"/>
    <w:rsid w:val="00AB6ED3"/>
    <w:rsid w:val="00AC1BDC"/>
    <w:rsid w:val="00AD5E54"/>
    <w:rsid w:val="00B020C8"/>
    <w:rsid w:val="00B04DB2"/>
    <w:rsid w:val="00B066E1"/>
    <w:rsid w:val="00B347ED"/>
    <w:rsid w:val="00B5346D"/>
    <w:rsid w:val="00B6516A"/>
    <w:rsid w:val="00BC56E8"/>
    <w:rsid w:val="00BE4F09"/>
    <w:rsid w:val="00C03C29"/>
    <w:rsid w:val="00C066BC"/>
    <w:rsid w:val="00C16330"/>
    <w:rsid w:val="00C32F89"/>
    <w:rsid w:val="00C47EEF"/>
    <w:rsid w:val="00C63F5C"/>
    <w:rsid w:val="00C91B82"/>
    <w:rsid w:val="00C92BA4"/>
    <w:rsid w:val="00C968E0"/>
    <w:rsid w:val="00CA5172"/>
    <w:rsid w:val="00CC3643"/>
    <w:rsid w:val="00CD39C0"/>
    <w:rsid w:val="00CE1397"/>
    <w:rsid w:val="00D04738"/>
    <w:rsid w:val="00D24726"/>
    <w:rsid w:val="00D81164"/>
    <w:rsid w:val="00D93A19"/>
    <w:rsid w:val="00D93BF1"/>
    <w:rsid w:val="00D95D7F"/>
    <w:rsid w:val="00DB20A8"/>
    <w:rsid w:val="00DB7CC3"/>
    <w:rsid w:val="00DC0773"/>
    <w:rsid w:val="00DE56B1"/>
    <w:rsid w:val="00DF427C"/>
    <w:rsid w:val="00E007CF"/>
    <w:rsid w:val="00E0421D"/>
    <w:rsid w:val="00E64C38"/>
    <w:rsid w:val="00E91F17"/>
    <w:rsid w:val="00E93374"/>
    <w:rsid w:val="00EB1FEB"/>
    <w:rsid w:val="00EF2428"/>
    <w:rsid w:val="00EF6FEE"/>
    <w:rsid w:val="00EF7063"/>
    <w:rsid w:val="00F109B1"/>
    <w:rsid w:val="00F22B73"/>
    <w:rsid w:val="00F44DF0"/>
    <w:rsid w:val="00F5072D"/>
    <w:rsid w:val="00F64BE4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B2"/>
  </w:style>
  <w:style w:type="paragraph" w:styleId="1">
    <w:name w:val="heading 1"/>
    <w:basedOn w:val="a"/>
    <w:next w:val="a"/>
    <w:qFormat/>
    <w:rsid w:val="00B04DB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4DB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User</cp:lastModifiedBy>
  <cp:revision>3</cp:revision>
  <cp:lastPrinted>2020-10-16T05:52:00Z</cp:lastPrinted>
  <dcterms:created xsi:type="dcterms:W3CDTF">2021-01-18T10:56:00Z</dcterms:created>
  <dcterms:modified xsi:type="dcterms:W3CDTF">2021-01-22T09:40:00Z</dcterms:modified>
</cp:coreProperties>
</file>